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7D" w:rsidRDefault="0004777D" w:rsidP="0004777D">
      <w:pPr>
        <w:pStyle w:val="Heading1"/>
        <w:rPr>
          <w:rFonts w:eastAsia="Times New Roman"/>
        </w:rPr>
      </w:pPr>
      <w:r w:rsidRPr="000F17D9">
        <w:rPr>
          <w:rFonts w:eastAsia="Times New Roman"/>
        </w:rPr>
        <w:t>Parenteral medicines functional requirements</w:t>
      </w:r>
    </w:p>
    <w:p w:rsidR="00791A7E" w:rsidRPr="00176576" w:rsidRDefault="00791A7E" w:rsidP="00176576">
      <w:pPr>
        <w:rPr>
          <w:rFonts w:eastAsiaTheme="minorHAnsi"/>
        </w:rPr>
      </w:pPr>
      <w:r>
        <w:t>The following requirements can be applied in a</w:t>
      </w:r>
      <w:r w:rsidR="001D4CCF">
        <w:t>n</w:t>
      </w:r>
      <w:r>
        <w:t xml:space="preserve"> e-prescribing system implemented in a hospital setting or in a</w:t>
      </w:r>
      <w:r w:rsidR="001D4CCF">
        <w:t>n</w:t>
      </w:r>
      <w:r>
        <w:t xml:space="preserve"> outpatient clinic where patients come to take intravenous medicines. </w:t>
      </w:r>
    </w:p>
    <w:p w:rsidR="0004777D" w:rsidRDefault="0004777D" w:rsidP="0004777D">
      <w:pPr>
        <w:autoSpaceDE w:val="0"/>
        <w:autoSpaceDN w:val="0"/>
        <w:adjustRightInd w:val="0"/>
        <w:spacing w:after="0" w:line="240" w:lineRule="auto"/>
        <w:ind w:firstLine="720"/>
        <w:rPr>
          <w:rFonts w:eastAsia="Times New Roman" w:cstheme="minorHAnsi"/>
          <w:b/>
          <w:bCs/>
        </w:rPr>
      </w:pPr>
    </w:p>
    <w:tbl>
      <w:tblPr>
        <w:tblStyle w:val="TableGrid"/>
        <w:tblW w:w="0" w:type="auto"/>
        <w:tblInd w:w="360" w:type="dxa"/>
        <w:tblLook w:val="04A0" w:firstRow="1" w:lastRow="0" w:firstColumn="1" w:lastColumn="0" w:noHBand="0" w:noVBand="1"/>
      </w:tblPr>
      <w:tblGrid>
        <w:gridCol w:w="1384"/>
        <w:gridCol w:w="6298"/>
        <w:gridCol w:w="1534"/>
      </w:tblGrid>
      <w:tr w:rsidR="0004777D" w:rsidRPr="000611C1" w:rsidTr="00575C34">
        <w:tc>
          <w:tcPr>
            <w:tcW w:w="1384" w:type="dxa"/>
          </w:tcPr>
          <w:p w:rsidR="0004777D" w:rsidRDefault="00DD7061" w:rsidP="00176576">
            <w:pPr>
              <w:rPr>
                <w:rFonts w:cstheme="minorHAnsi"/>
              </w:rPr>
            </w:pPr>
            <w:r>
              <w:rPr>
                <w:rFonts w:cstheme="minorHAnsi"/>
              </w:rPr>
              <w:t>P</w:t>
            </w:r>
            <w:r w:rsidR="00643D7D">
              <w:rPr>
                <w:rFonts w:cstheme="minorHAnsi"/>
              </w:rPr>
              <w:t>M</w:t>
            </w:r>
            <w:r>
              <w:rPr>
                <w:rFonts w:cstheme="minorHAnsi"/>
              </w:rPr>
              <w:t>1</w:t>
            </w:r>
          </w:p>
        </w:tc>
        <w:tc>
          <w:tcPr>
            <w:tcW w:w="6298" w:type="dxa"/>
          </w:tcPr>
          <w:p w:rsidR="0004777D" w:rsidRDefault="0004777D" w:rsidP="00176576">
            <w:r>
              <w:t>Prescriptions for IV fluids should include the period of time over</w:t>
            </w:r>
          </w:p>
          <w:p w:rsidR="0004777D" w:rsidRDefault="0004777D" w:rsidP="00176576">
            <w:r>
              <w:t>which they are to be given, ideally with start and approximate end</w:t>
            </w:r>
          </w:p>
          <w:p w:rsidR="0004777D" w:rsidRDefault="0004777D" w:rsidP="00176576">
            <w:proofErr w:type="gramStart"/>
            <w:r>
              <w:t>times</w:t>
            </w:r>
            <w:proofErr w:type="gramEnd"/>
            <w:r>
              <w:t>. Equally</w:t>
            </w:r>
            <w:r w:rsidR="001C3D33">
              <w:t>,</w:t>
            </w:r>
            <w:r>
              <w:t xml:space="preserve"> the time period may be calculated should a rate be</w:t>
            </w:r>
          </w:p>
          <w:p w:rsidR="005123B9" w:rsidRDefault="0004777D" w:rsidP="00176576">
            <w:r>
              <w:t>prescribed.</w:t>
            </w:r>
            <w:r w:rsidR="005123B9">
              <w:t xml:space="preserve"> </w:t>
            </w:r>
          </w:p>
          <w:p w:rsidR="005123B9" w:rsidRDefault="005123B9" w:rsidP="005123B9"/>
          <w:p w:rsidR="0004777D" w:rsidRDefault="005123B9" w:rsidP="005123B9">
            <w:r>
              <w:t>If implemented in a hospital setting ,</w:t>
            </w:r>
            <w:r w:rsidR="0004777D">
              <w:t xml:space="preserve"> </w:t>
            </w:r>
            <w:r>
              <w:t>t</w:t>
            </w:r>
            <w:r w:rsidR="0004777D">
              <w:t>he system must also support the pausing or</w:t>
            </w:r>
            <w:r>
              <w:t xml:space="preserve"> </w:t>
            </w:r>
            <w:r w:rsidR="0004777D">
              <w:t>suspension of fluids over a period of time.</w:t>
            </w:r>
          </w:p>
          <w:p w:rsidR="0004777D" w:rsidRDefault="005123B9" w:rsidP="00176576">
            <w:r>
              <w:t>R</w:t>
            </w:r>
            <w:r w:rsidR="0004777D">
              <w:t>eminders to nursing staff should trigger when logging on to the</w:t>
            </w:r>
            <w:r>
              <w:t xml:space="preserve"> </w:t>
            </w:r>
            <w:r w:rsidR="0004777D">
              <w:t>system or administration pathways warning when the fluids are</w:t>
            </w:r>
            <w:r>
              <w:t xml:space="preserve"> </w:t>
            </w:r>
            <w:r w:rsidR="0004777D">
              <w:t>about to finish within their work area/ward according to the</w:t>
            </w:r>
            <w:r>
              <w:t xml:space="preserve"> </w:t>
            </w:r>
            <w:r w:rsidR="0004777D">
              <w:t>prescribed time. There must also be the ability to allow timing to be</w:t>
            </w:r>
            <w:r>
              <w:t xml:space="preserve"> </w:t>
            </w:r>
            <w:r w:rsidR="0004777D">
              <w:t>adjusted at any stage during the administration to reflect the actual</w:t>
            </w:r>
            <w:r>
              <w:t xml:space="preserve"> </w:t>
            </w:r>
            <w:r w:rsidR="0004777D">
              <w:t>period of running as fluids rarely run exactly to time with guidance if altered to ensure that rate settings are not inappropriate.</w:t>
            </w:r>
          </w:p>
          <w:p w:rsidR="0004777D" w:rsidRDefault="0004777D" w:rsidP="00176576"/>
          <w:p w:rsidR="0004777D" w:rsidRDefault="005123B9" w:rsidP="00176576">
            <w:r>
              <w:t>Also in a hospital setting, a</w:t>
            </w:r>
            <w:r w:rsidR="0004777D">
              <w:t xml:space="preserve"> patient’s fluid balance (in and out) should be recorded and volume administered calculated and linked to the scheduling of the next prescribed IV infusions. In this way</w:t>
            </w:r>
            <w:r w:rsidR="00783880">
              <w:t>,</w:t>
            </w:r>
            <w:r w:rsidR="0004777D">
              <w:t xml:space="preserve"> the next infusion is rescheduled if the original infusion is running slowly. This does not mean that any subsequent infusions should be speeded up but rather that delayed infusions are rescheduled and are not started in combination with existing fluids.</w:t>
            </w:r>
          </w:p>
          <w:p w:rsidR="0004777D" w:rsidRDefault="0004777D" w:rsidP="00176576"/>
          <w:p w:rsidR="0004777D" w:rsidRDefault="0004777D" w:rsidP="00176576">
            <w:r>
              <w:t>Where infusion pumps can directly feed data into the system the</w:t>
            </w:r>
          </w:p>
          <w:p w:rsidR="0004777D" w:rsidRDefault="0004777D" w:rsidP="00176576">
            <w:r>
              <w:t>ability to capture the ‘in’ flow of fluid should be supported and inform the system as to how much fluid has been administered and relate it to the prescription similarly to the manual recoding outlined above.</w:t>
            </w:r>
          </w:p>
          <w:p w:rsidR="0004777D" w:rsidRDefault="0004777D" w:rsidP="00176576"/>
          <w:p w:rsidR="0004777D" w:rsidRDefault="0004777D" w:rsidP="00176576">
            <w:r>
              <w:t>It should be possible to record when giving sets are setup and</w:t>
            </w:r>
          </w:p>
          <w:p w:rsidR="0004777D" w:rsidRDefault="0004777D" w:rsidP="00176576">
            <w:r>
              <w:t>remind within administration pathways when they require</w:t>
            </w:r>
          </w:p>
          <w:p w:rsidR="0004777D" w:rsidRDefault="0004777D" w:rsidP="00176576">
            <w:pPr>
              <w:rPr>
                <w:color w:val="000000"/>
              </w:rPr>
            </w:pPr>
            <w:r>
              <w:t>replacement.</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40595D" w:rsidRDefault="0040595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tc>
      </w:tr>
      <w:tr w:rsidR="0004777D" w:rsidRPr="000611C1" w:rsidTr="00575C34">
        <w:tc>
          <w:tcPr>
            <w:tcW w:w="1384" w:type="dxa"/>
          </w:tcPr>
          <w:p w:rsidR="0004777D" w:rsidRDefault="00DD7061" w:rsidP="00176576">
            <w:pPr>
              <w:rPr>
                <w:rFonts w:cstheme="minorHAnsi"/>
              </w:rPr>
            </w:pPr>
            <w:r>
              <w:t>P</w:t>
            </w:r>
            <w:r w:rsidR="00643D7D">
              <w:t>M</w:t>
            </w:r>
            <w:r>
              <w:t>2</w:t>
            </w:r>
          </w:p>
        </w:tc>
        <w:tc>
          <w:tcPr>
            <w:tcW w:w="6298" w:type="dxa"/>
          </w:tcPr>
          <w:p w:rsidR="0004777D" w:rsidRDefault="005123B9" w:rsidP="00176576">
            <w:r>
              <w:t>This requirement applies in a hospital setting or in a</w:t>
            </w:r>
            <w:r w:rsidR="00DD7061">
              <w:t>n</w:t>
            </w:r>
            <w:r>
              <w:t xml:space="preserve"> outpatient clinic where patients come to take IV medicines. </w:t>
            </w:r>
            <w:r w:rsidR="0004777D">
              <w:t>Medicines that are given intravenously often need to be</w:t>
            </w:r>
            <w:r>
              <w:t xml:space="preserve"> </w:t>
            </w:r>
            <w:r w:rsidR="0004777D">
              <w:t>reconstituted and given in a certain volume of fluid over a specified</w:t>
            </w:r>
            <w:r>
              <w:t xml:space="preserve"> </w:t>
            </w:r>
            <w:r w:rsidR="00DD7061">
              <w:t>period of time. While</w:t>
            </w:r>
            <w:r w:rsidR="0004777D">
              <w:t xml:space="preserve"> the information about initial reconstitution may not be </w:t>
            </w:r>
            <w:r>
              <w:t xml:space="preserve"> e</w:t>
            </w:r>
            <w:r w:rsidR="0004777D">
              <w:t>lected/defined by the prescriber</w:t>
            </w:r>
            <w:r w:rsidR="00DD7061">
              <w:t>,</w:t>
            </w:r>
            <w:r w:rsidR="0004777D">
              <w:t xml:space="preserve"> this information must be available for staff actually making up the medicine should they wish to access it. Once the constituents have been put into the infusion</w:t>
            </w:r>
            <w:r w:rsidR="007E4D15">
              <w:t>,</w:t>
            </w:r>
            <w:r w:rsidR="0004777D">
              <w:t xml:space="preserve"> </w:t>
            </w:r>
            <w:bookmarkStart w:id="0" w:name="_GoBack"/>
            <w:bookmarkEnd w:id="0"/>
            <w:r w:rsidR="0004777D">
              <w:lastRenderedPageBreak/>
              <w:t>the system must handle the final infusion as a single entity.</w:t>
            </w:r>
          </w:p>
          <w:p w:rsidR="0004777D" w:rsidRDefault="0004777D" w:rsidP="00176576">
            <w:r>
              <w:t>The information that must be included within the prescription</w:t>
            </w:r>
          </w:p>
          <w:p w:rsidR="0004777D" w:rsidRDefault="0004777D" w:rsidP="00176576">
            <w:r>
              <w:t>includes:</w:t>
            </w:r>
          </w:p>
          <w:p w:rsidR="0004777D" w:rsidRDefault="0004777D" w:rsidP="007E4D15">
            <w:pPr>
              <w:ind w:left="720"/>
            </w:pPr>
            <w:r>
              <w:rPr>
                <w:rFonts w:ascii="SymbolMT" w:hAnsi="SymbolMT" w:cs="SymbolMT"/>
              </w:rPr>
              <w:t xml:space="preserve">• </w:t>
            </w:r>
            <w:proofErr w:type="gramStart"/>
            <w:r w:rsidR="007E4D15">
              <w:t>drug</w:t>
            </w:r>
            <w:proofErr w:type="gramEnd"/>
            <w:r w:rsidR="007E4D15">
              <w:t xml:space="preserve"> name(s) (Georgia NDC</w:t>
            </w:r>
            <w:r>
              <w:t>) if required.</w:t>
            </w:r>
          </w:p>
          <w:p w:rsidR="0004777D" w:rsidRDefault="0004777D" w:rsidP="00176576">
            <w:pPr>
              <w:ind w:left="720"/>
            </w:pPr>
            <w:r>
              <w:rPr>
                <w:rFonts w:ascii="SymbolMT" w:hAnsi="SymbolMT" w:cs="SymbolMT"/>
              </w:rPr>
              <w:t xml:space="preserve">• </w:t>
            </w:r>
            <w:proofErr w:type="gramStart"/>
            <w:r>
              <w:t>drug</w:t>
            </w:r>
            <w:proofErr w:type="gramEnd"/>
            <w:r>
              <w:t xml:space="preserve"> dose(s) and/ or concentration(s) if required.</w:t>
            </w:r>
          </w:p>
          <w:p w:rsidR="0004777D" w:rsidRDefault="0004777D" w:rsidP="00176576">
            <w:pPr>
              <w:ind w:left="720"/>
            </w:pPr>
            <w:r>
              <w:rPr>
                <w:rFonts w:ascii="SymbolMT" w:hAnsi="SymbolMT" w:cs="SymbolMT"/>
              </w:rPr>
              <w:t xml:space="preserve">• </w:t>
            </w:r>
            <w:r>
              <w:t>infusion fluid (only those that are compatible with the</w:t>
            </w:r>
          </w:p>
          <w:p w:rsidR="0004777D" w:rsidRDefault="0004777D" w:rsidP="00176576">
            <w:pPr>
              <w:ind w:left="720"/>
            </w:pPr>
            <w:proofErr w:type="gramStart"/>
            <w:r>
              <w:t>drug</w:t>
            </w:r>
            <w:proofErr w:type="gramEnd"/>
            <w:r>
              <w:t xml:space="preserve"> should be presented for selection).</w:t>
            </w:r>
          </w:p>
          <w:p w:rsidR="0004777D" w:rsidRDefault="0004777D" w:rsidP="00176576">
            <w:pPr>
              <w:ind w:left="720"/>
            </w:pPr>
            <w:r>
              <w:rPr>
                <w:rFonts w:ascii="SymbolMT" w:hAnsi="SymbolMT" w:cs="SymbolMT"/>
              </w:rPr>
              <w:t xml:space="preserve">• </w:t>
            </w:r>
            <w:proofErr w:type="gramStart"/>
            <w:r>
              <w:t>volume</w:t>
            </w:r>
            <w:proofErr w:type="gramEnd"/>
            <w:r>
              <w:t xml:space="preserve"> of infusion.</w:t>
            </w:r>
          </w:p>
          <w:p w:rsidR="0004777D" w:rsidRDefault="0004777D" w:rsidP="00176576">
            <w:pPr>
              <w:ind w:left="720"/>
            </w:pPr>
            <w:r>
              <w:rPr>
                <w:rFonts w:ascii="SymbolMT" w:hAnsi="SymbolMT" w:cs="SymbolMT"/>
              </w:rPr>
              <w:t xml:space="preserve">• </w:t>
            </w:r>
            <w:r>
              <w:t>rate of infusion:</w:t>
            </w:r>
          </w:p>
          <w:p w:rsidR="0004777D" w:rsidRDefault="0004777D" w:rsidP="00176576">
            <w:pPr>
              <w:ind w:left="1440"/>
            </w:pPr>
            <w:r>
              <w:rPr>
                <w:rFonts w:ascii="Courier New" w:hAnsi="Courier New" w:cs="Courier New"/>
              </w:rPr>
              <w:t xml:space="preserve">o </w:t>
            </w:r>
            <w:r>
              <w:t>which may relate to fluid balance e.g. hourly</w:t>
            </w:r>
          </w:p>
          <w:p w:rsidR="0004777D" w:rsidRDefault="0004777D" w:rsidP="00176576">
            <w:pPr>
              <w:ind w:left="1440"/>
            </w:pPr>
            <w:r>
              <w:t>urine output plus n mL or;</w:t>
            </w:r>
          </w:p>
          <w:p w:rsidR="0004777D" w:rsidRDefault="0004777D" w:rsidP="00176576">
            <w:pPr>
              <w:ind w:left="1440"/>
            </w:pPr>
            <w:r>
              <w:rPr>
                <w:rFonts w:ascii="Courier New" w:hAnsi="Courier New" w:cs="Courier New"/>
              </w:rPr>
              <w:t xml:space="preserve">o </w:t>
            </w:r>
            <w:r>
              <w:t>may need to be prescribed as a range to allow</w:t>
            </w:r>
          </w:p>
          <w:p w:rsidR="0004777D" w:rsidRDefault="0004777D" w:rsidP="00176576">
            <w:pPr>
              <w:ind w:left="1440"/>
            </w:pPr>
            <w:r>
              <w:t>for adjustment according to specific parameters</w:t>
            </w:r>
          </w:p>
          <w:p w:rsidR="0004777D" w:rsidRDefault="0004777D" w:rsidP="00176576">
            <w:pPr>
              <w:ind w:left="1440"/>
            </w:pPr>
            <w:r>
              <w:t>and;</w:t>
            </w:r>
          </w:p>
          <w:p w:rsidR="0004777D" w:rsidRDefault="0004777D" w:rsidP="00176576">
            <w:pPr>
              <w:ind w:left="1440"/>
              <w:rPr>
                <w:color w:val="000000"/>
              </w:rPr>
            </w:pPr>
            <w:r>
              <w:rPr>
                <w:rFonts w:ascii="Courier New" w:hAnsi="Courier New" w:cs="Courier New"/>
              </w:rPr>
              <w:t xml:space="preserve">o </w:t>
            </w:r>
            <w:r>
              <w:t xml:space="preserve">should default to the most appropriate rate for </w:t>
            </w:r>
            <w:r>
              <w:rPr>
                <w:color w:val="000000"/>
              </w:rPr>
              <w:t>the product</w:t>
            </w:r>
          </w:p>
          <w:p w:rsidR="0004777D" w:rsidRDefault="0004777D" w:rsidP="00176576">
            <w:pPr>
              <w:ind w:left="1440"/>
              <w:rPr>
                <w:color w:val="000000"/>
              </w:rPr>
            </w:pPr>
            <w:r>
              <w:rPr>
                <w:rFonts w:ascii="Courier New" w:hAnsi="Courier New" w:cs="Courier New"/>
                <w:color w:val="000000"/>
              </w:rPr>
              <w:t xml:space="preserve">o </w:t>
            </w:r>
            <w:r>
              <w:rPr>
                <w:color w:val="000000"/>
              </w:rPr>
              <w:t>should not allow unsafe rates to be prescribed</w:t>
            </w:r>
          </w:p>
          <w:p w:rsidR="0004777D" w:rsidRDefault="0004777D" w:rsidP="00176576">
            <w:pPr>
              <w:ind w:left="1440"/>
              <w:rPr>
                <w:color w:val="000000"/>
              </w:rPr>
            </w:pPr>
            <w:r>
              <w:rPr>
                <w:color w:val="000000"/>
              </w:rPr>
              <w:t>in specific medicines with known errors e.g.</w:t>
            </w:r>
          </w:p>
          <w:p w:rsidR="0004777D" w:rsidRDefault="0004777D" w:rsidP="00176576">
            <w:pPr>
              <w:ind w:left="1440"/>
              <w:rPr>
                <w:color w:val="000000"/>
              </w:rPr>
            </w:pPr>
            <w:r>
              <w:rPr>
                <w:color w:val="000000"/>
              </w:rPr>
              <w:t>vancomycin</w:t>
            </w:r>
          </w:p>
          <w:p w:rsidR="0004777D" w:rsidRDefault="0004777D" w:rsidP="00176576">
            <w:pPr>
              <w:ind w:left="720"/>
              <w:rPr>
                <w:color w:val="000000"/>
              </w:rPr>
            </w:pPr>
            <w:r>
              <w:rPr>
                <w:rFonts w:ascii="SymbolMT" w:hAnsi="SymbolMT" w:cs="SymbolMT"/>
                <w:color w:val="000000"/>
              </w:rPr>
              <w:t xml:space="preserve">• </w:t>
            </w:r>
            <w:proofErr w:type="gramStart"/>
            <w:r>
              <w:rPr>
                <w:color w:val="000000"/>
              </w:rPr>
              <w:t>route</w:t>
            </w:r>
            <w:proofErr w:type="gramEnd"/>
            <w:r>
              <w:rPr>
                <w:color w:val="000000"/>
              </w:rPr>
              <w:t>.</w:t>
            </w:r>
          </w:p>
          <w:p w:rsidR="0004777D" w:rsidRDefault="0004777D" w:rsidP="00176576">
            <w:pPr>
              <w:ind w:left="720"/>
              <w:rPr>
                <w:color w:val="000000"/>
              </w:rPr>
            </w:pPr>
            <w:r>
              <w:rPr>
                <w:rFonts w:ascii="SymbolMT" w:hAnsi="SymbolMT" w:cs="SymbolMT"/>
                <w:color w:val="000000"/>
              </w:rPr>
              <w:t xml:space="preserve">• </w:t>
            </w:r>
            <w:proofErr w:type="gramStart"/>
            <w:r>
              <w:rPr>
                <w:color w:val="000000"/>
              </w:rPr>
              <w:t>line</w:t>
            </w:r>
            <w:proofErr w:type="gramEnd"/>
            <w:r>
              <w:rPr>
                <w:color w:val="000000"/>
              </w:rPr>
              <w:t xml:space="preserve"> (if required).</w:t>
            </w:r>
          </w:p>
          <w:p w:rsidR="0004777D" w:rsidRDefault="0004777D" w:rsidP="00176576">
            <w:pPr>
              <w:ind w:left="720"/>
              <w:rPr>
                <w:color w:val="000000"/>
              </w:rPr>
            </w:pPr>
            <w:r>
              <w:rPr>
                <w:rFonts w:ascii="SymbolMT" w:hAnsi="SymbolMT" w:cs="SymbolMT"/>
                <w:color w:val="000000"/>
              </w:rPr>
              <w:t xml:space="preserve">• </w:t>
            </w:r>
            <w:r>
              <w:rPr>
                <w:color w:val="000000"/>
              </w:rPr>
              <w:t>duration which may specify the period over which a</w:t>
            </w:r>
          </w:p>
          <w:p w:rsidR="0004777D" w:rsidRDefault="0004777D" w:rsidP="00176576">
            <w:pPr>
              <w:ind w:left="720"/>
              <w:rPr>
                <w:color w:val="000000"/>
              </w:rPr>
            </w:pPr>
            <w:r>
              <w:rPr>
                <w:color w:val="000000"/>
              </w:rPr>
              <w:t>single dose/ infusion is given and/ or the duration of</w:t>
            </w:r>
          </w:p>
          <w:p w:rsidR="0004777D" w:rsidRDefault="0004777D" w:rsidP="00176576">
            <w:pPr>
              <w:ind w:left="720"/>
              <w:rPr>
                <w:color w:val="000000"/>
              </w:rPr>
            </w:pPr>
            <w:proofErr w:type="gramStart"/>
            <w:r>
              <w:rPr>
                <w:color w:val="000000"/>
              </w:rPr>
              <w:t>treatment</w:t>
            </w:r>
            <w:proofErr w:type="gramEnd"/>
            <w:r>
              <w:rPr>
                <w:color w:val="000000"/>
              </w:rPr>
              <w:t>.</w:t>
            </w:r>
          </w:p>
          <w:p w:rsidR="0004777D" w:rsidRDefault="0004777D" w:rsidP="00176576">
            <w:pPr>
              <w:ind w:left="720"/>
              <w:rPr>
                <w:color w:val="000000"/>
              </w:rPr>
            </w:pPr>
            <w:r>
              <w:rPr>
                <w:rFonts w:ascii="SymbolMT" w:hAnsi="SymbolMT" w:cs="SymbolMT"/>
                <w:color w:val="000000"/>
              </w:rPr>
              <w:t xml:space="preserve">• </w:t>
            </w:r>
            <w:proofErr w:type="gramStart"/>
            <w:r>
              <w:rPr>
                <w:color w:val="000000"/>
              </w:rPr>
              <w:t>frequency</w:t>
            </w:r>
            <w:proofErr w:type="gramEnd"/>
            <w:r>
              <w:rPr>
                <w:color w:val="000000"/>
              </w:rPr>
              <w:t>.</w:t>
            </w:r>
          </w:p>
          <w:p w:rsidR="0004777D" w:rsidRDefault="0004777D" w:rsidP="00176576">
            <w:pPr>
              <w:ind w:left="720"/>
              <w:rPr>
                <w:color w:val="000000"/>
              </w:rPr>
            </w:pPr>
            <w:r>
              <w:rPr>
                <w:rFonts w:ascii="SymbolMT" w:hAnsi="SymbolMT" w:cs="SymbolMT"/>
                <w:color w:val="000000"/>
              </w:rPr>
              <w:t xml:space="preserve">• </w:t>
            </w:r>
            <w:proofErr w:type="gramStart"/>
            <w:r>
              <w:rPr>
                <w:color w:val="000000"/>
              </w:rPr>
              <w:t>additional</w:t>
            </w:r>
            <w:proofErr w:type="gramEnd"/>
            <w:r>
              <w:rPr>
                <w:color w:val="000000"/>
              </w:rPr>
              <w:t xml:space="preserve"> instructions.</w:t>
            </w:r>
          </w:p>
          <w:p w:rsidR="0004777D" w:rsidRDefault="0004777D" w:rsidP="00176576">
            <w:pPr>
              <w:rPr>
                <w:color w:val="000000"/>
              </w:rPr>
            </w:pPr>
          </w:p>
          <w:p w:rsidR="0004777D" w:rsidRDefault="0004777D" w:rsidP="00176576">
            <w:pPr>
              <w:rPr>
                <w:color w:val="000000"/>
              </w:rPr>
            </w:pPr>
            <w:r>
              <w:rPr>
                <w:color w:val="000000"/>
              </w:rPr>
              <w:t>It should be possible to display both the rate of administration (e.g.</w:t>
            </w:r>
          </w:p>
          <w:p w:rsidR="0004777D" w:rsidRDefault="0004777D" w:rsidP="00176576">
            <w:pPr>
              <w:rPr>
                <w:color w:val="000000"/>
              </w:rPr>
            </w:pPr>
            <w:r>
              <w:rPr>
                <w:color w:val="000000"/>
              </w:rPr>
              <w:t>mcg/hour) and the actual dose (e.g. mcg/kg/min).</w:t>
            </w:r>
          </w:p>
          <w:p w:rsidR="0004777D" w:rsidRDefault="0004777D" w:rsidP="00176576">
            <w:pPr>
              <w:rPr>
                <w:color w:val="000000"/>
              </w:rPr>
            </w:pPr>
          </w:p>
          <w:p w:rsidR="0004777D" w:rsidRDefault="0004777D" w:rsidP="00176576">
            <w:pPr>
              <w:rPr>
                <w:color w:val="000000"/>
              </w:rPr>
            </w:pPr>
            <w:r>
              <w:rPr>
                <w:color w:val="000000"/>
              </w:rPr>
              <w:t>Default fluids and volumes must be pre-populated and/or guidance</w:t>
            </w:r>
          </w:p>
          <w:p w:rsidR="0004777D" w:rsidRDefault="0004777D" w:rsidP="00176576">
            <w:pPr>
              <w:rPr>
                <w:color w:val="000000"/>
              </w:rPr>
            </w:pPr>
            <w:proofErr w:type="gramStart"/>
            <w:r>
              <w:rPr>
                <w:color w:val="000000"/>
              </w:rPr>
              <w:t>available</w:t>
            </w:r>
            <w:proofErr w:type="gramEnd"/>
            <w:r>
              <w:rPr>
                <w:color w:val="000000"/>
              </w:rPr>
              <w:t xml:space="preserve"> during the selection process to facilitate correct selection.</w:t>
            </w:r>
          </w:p>
          <w:p w:rsidR="0004777D" w:rsidRDefault="0004777D" w:rsidP="00176576">
            <w:pPr>
              <w:rPr>
                <w:color w:val="000000"/>
              </w:rPr>
            </w:pPr>
            <w:r>
              <w:rPr>
                <w:color w:val="000000"/>
              </w:rPr>
              <w:t>It must be possible to link to pumps and/or rate settings to facilitate the administration and recording of the infusion(s).</w:t>
            </w:r>
          </w:p>
          <w:p w:rsidR="0004777D" w:rsidRDefault="0004777D" w:rsidP="00176576">
            <w:pPr>
              <w:rPr>
                <w:color w:val="000000"/>
              </w:rPr>
            </w:pPr>
          </w:p>
          <w:p w:rsidR="0004777D" w:rsidRDefault="0004777D" w:rsidP="00176576">
            <w:r>
              <w:rPr>
                <w:color w:val="000000"/>
              </w:rPr>
              <w:t xml:space="preserve">Links to decision support for compatibilities must be supported </w:t>
            </w:r>
            <w:r>
              <w:rPr>
                <w:color w:val="3365FF"/>
              </w:rPr>
              <w:t xml:space="preserve">-  </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lastRenderedPageBreak/>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AD2C8F" w:rsidRDefault="00AD2C8F"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2</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5123B9" w:rsidRDefault="005123B9" w:rsidP="00575C34">
            <w:pPr>
              <w:autoSpaceDE w:val="0"/>
              <w:autoSpaceDN w:val="0"/>
              <w:adjustRightInd w:val="0"/>
              <w:rPr>
                <w:rFonts w:eastAsia="Times New Roman" w:cstheme="minorHAnsi"/>
              </w:rPr>
            </w:pPr>
          </w:p>
          <w:p w:rsidR="00AD2C8F" w:rsidRDefault="00AD2C8F" w:rsidP="00575C34">
            <w:pPr>
              <w:autoSpaceDE w:val="0"/>
              <w:autoSpaceDN w:val="0"/>
              <w:adjustRightInd w:val="0"/>
              <w:rPr>
                <w:rFonts w:eastAsia="Times New Roman" w:cstheme="minorHAnsi"/>
              </w:rPr>
            </w:pPr>
          </w:p>
          <w:p w:rsidR="0004777D" w:rsidRDefault="00A639DB" w:rsidP="00575C34">
            <w:pPr>
              <w:autoSpaceDE w:val="0"/>
              <w:autoSpaceDN w:val="0"/>
              <w:adjustRightInd w:val="0"/>
              <w:rPr>
                <w:rFonts w:eastAsia="Times New Roman" w:cstheme="minorHAnsi"/>
              </w:rPr>
            </w:pPr>
            <w:r>
              <w:rPr>
                <w:rFonts w:eastAsia="Times New Roman" w:cstheme="minorHAnsi"/>
              </w:rPr>
              <w:t>2</w:t>
            </w:r>
          </w:p>
        </w:tc>
      </w:tr>
      <w:tr w:rsidR="0004777D" w:rsidRPr="000611C1" w:rsidTr="00575C34">
        <w:tc>
          <w:tcPr>
            <w:tcW w:w="1384" w:type="dxa"/>
          </w:tcPr>
          <w:p w:rsidR="0004777D" w:rsidRDefault="00A639DB" w:rsidP="00176576">
            <w:pPr>
              <w:rPr>
                <w:rFonts w:cstheme="minorHAnsi"/>
              </w:rPr>
            </w:pPr>
            <w:r>
              <w:lastRenderedPageBreak/>
              <w:t>P</w:t>
            </w:r>
            <w:r w:rsidR="00643D7D">
              <w:t>M</w:t>
            </w:r>
            <w:r>
              <w:t>3</w:t>
            </w:r>
          </w:p>
        </w:tc>
        <w:tc>
          <w:tcPr>
            <w:tcW w:w="6298" w:type="dxa"/>
          </w:tcPr>
          <w:p w:rsidR="0004777D" w:rsidRDefault="0004777D" w:rsidP="00176576">
            <w:r>
              <w:t>Prescriptions for IV infusions should have the option of specifying</w:t>
            </w:r>
          </w:p>
          <w:p w:rsidR="0004777D" w:rsidRDefault="0004777D" w:rsidP="00176576">
            <w:proofErr w:type="gramStart"/>
            <w:r>
              <w:t>the</w:t>
            </w:r>
            <w:proofErr w:type="gramEnd"/>
            <w:r>
              <w:t xml:space="preserve"> route in conjunction with the type of and/ or specific line that is to be used with differing levels of d</w:t>
            </w:r>
            <w:r w:rsidR="00EE399B">
              <w:t>etail. This includes specifying:</w:t>
            </w:r>
          </w:p>
          <w:p w:rsidR="0004777D" w:rsidRDefault="0004777D" w:rsidP="00176576">
            <w:r>
              <w:t>Peripheral vs. central line</w:t>
            </w:r>
            <w:r w:rsidR="00EE399B">
              <w:t>,</w:t>
            </w:r>
            <w:r>
              <w:t xml:space="preserve"> or Y line versus multi-lumen lines. This</w:t>
            </w:r>
          </w:p>
          <w:p w:rsidR="0004777D" w:rsidRDefault="0004777D" w:rsidP="00176576">
            <w:r>
              <w:t>should preferably be specified by the prescriber and/or recorded as</w:t>
            </w:r>
          </w:p>
          <w:p w:rsidR="0004777D" w:rsidRDefault="0004777D" w:rsidP="00176576">
            <w:proofErr w:type="gramStart"/>
            <w:r>
              <w:t>part</w:t>
            </w:r>
            <w:proofErr w:type="gramEnd"/>
            <w:r>
              <w:t xml:space="preserve"> of the administration record.</w:t>
            </w:r>
          </w:p>
          <w:p w:rsidR="0004777D" w:rsidRDefault="0004777D" w:rsidP="00176576"/>
          <w:p w:rsidR="0004777D" w:rsidRDefault="0004777D" w:rsidP="00176576">
            <w:r>
              <w:t>It must also be possible to represent the location of the line</w:t>
            </w:r>
          </w:p>
          <w:p w:rsidR="0004777D" w:rsidRDefault="00EE399B" w:rsidP="00176576">
            <w:r>
              <w:t>p</w:t>
            </w:r>
            <w:r w:rsidR="0004777D">
              <w:t>ictorially</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2</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tc>
      </w:tr>
      <w:tr w:rsidR="0004777D" w:rsidRPr="000611C1" w:rsidTr="00575C34">
        <w:tc>
          <w:tcPr>
            <w:tcW w:w="1384" w:type="dxa"/>
          </w:tcPr>
          <w:p w:rsidR="0004777D" w:rsidRDefault="00EE399B" w:rsidP="00176576">
            <w:pPr>
              <w:rPr>
                <w:rFonts w:cstheme="minorHAnsi"/>
              </w:rPr>
            </w:pPr>
            <w:r>
              <w:t>P</w:t>
            </w:r>
            <w:r w:rsidR="00643D7D">
              <w:t>M</w:t>
            </w:r>
            <w:r>
              <w:t>4</w:t>
            </w:r>
          </w:p>
        </w:tc>
        <w:tc>
          <w:tcPr>
            <w:tcW w:w="6298" w:type="dxa"/>
          </w:tcPr>
          <w:p w:rsidR="0004777D" w:rsidRDefault="0004777D" w:rsidP="00176576">
            <w:r>
              <w:t xml:space="preserve">The system should prompt for the inclusion of a route that indicates whether a peripheral </w:t>
            </w:r>
            <w:r w:rsidR="00311B54">
              <w:t>or central line should be utiliz</w:t>
            </w:r>
            <w:r>
              <w:t>ed for IV infusions when specific medicine</w:t>
            </w:r>
            <w:r w:rsidR="00311B54">
              <w:t>s</w:t>
            </w:r>
            <w:r>
              <w:t xml:space="preserve"> require this level of definition.</w:t>
            </w:r>
          </w:p>
          <w:p w:rsidR="0004777D" w:rsidRDefault="0004777D" w:rsidP="00176576"/>
          <w:p w:rsidR="0004777D" w:rsidRDefault="0004777D" w:rsidP="00311B54">
            <w:r>
              <w:t>Where this is critical</w:t>
            </w:r>
            <w:r w:rsidR="00311B54">
              <w:t>,</w:t>
            </w:r>
            <w:r>
              <w:t xml:space="preserve"> the default should ensure that warnings to this</w:t>
            </w:r>
            <w:r w:rsidR="00311B54">
              <w:t xml:space="preserve"> </w:t>
            </w:r>
            <w:r>
              <w:t>effect are displayed. The definition of these defaults must be</w:t>
            </w:r>
          </w:p>
          <w:p w:rsidR="0004777D" w:rsidRDefault="0004777D" w:rsidP="00176576">
            <w:r>
              <w:t>possible at a national or local level and may require further</w:t>
            </w:r>
          </w:p>
          <w:p w:rsidR="0004777D" w:rsidRDefault="0004777D" w:rsidP="00176576">
            <w:proofErr w:type="gramStart"/>
            <w:r>
              <w:t>customization</w:t>
            </w:r>
            <w:proofErr w:type="gramEnd"/>
            <w:r>
              <w:t xml:space="preserve"> according to specialty or location.</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lastRenderedPageBreak/>
              <w:t>1-2</w:t>
            </w:r>
          </w:p>
        </w:tc>
      </w:tr>
      <w:tr w:rsidR="0004777D" w:rsidRPr="000611C1" w:rsidTr="00575C34">
        <w:tc>
          <w:tcPr>
            <w:tcW w:w="1384" w:type="dxa"/>
          </w:tcPr>
          <w:p w:rsidR="0004777D" w:rsidRDefault="00DB49F7" w:rsidP="00176576">
            <w:pPr>
              <w:rPr>
                <w:rFonts w:cstheme="minorHAnsi"/>
              </w:rPr>
            </w:pPr>
            <w:r>
              <w:lastRenderedPageBreak/>
              <w:t>P</w:t>
            </w:r>
            <w:r w:rsidR="00643D7D">
              <w:t>M</w:t>
            </w:r>
            <w:r>
              <w:t>5</w:t>
            </w:r>
          </w:p>
        </w:tc>
        <w:tc>
          <w:tcPr>
            <w:tcW w:w="6298" w:type="dxa"/>
          </w:tcPr>
          <w:p w:rsidR="0004777D" w:rsidRDefault="0004777D" w:rsidP="00176576">
            <w:r>
              <w:t>The system must support the prescription and administration of</w:t>
            </w:r>
          </w:p>
          <w:p w:rsidR="0004777D" w:rsidRDefault="0004777D" w:rsidP="00176576">
            <w:r>
              <w:t>complex mixtures of medicines and diluents that must to be given at the same time in the same preparation e.g. multiple drugs in a</w:t>
            </w:r>
          </w:p>
          <w:p w:rsidR="0004777D" w:rsidRDefault="0004777D" w:rsidP="00176576">
            <w:proofErr w:type="gramStart"/>
            <w:r>
              <w:t>syringe</w:t>
            </w:r>
            <w:proofErr w:type="gramEnd"/>
            <w:r>
              <w:t xml:space="preserve"> driver.</w:t>
            </w:r>
          </w:p>
          <w:p w:rsidR="0004777D" w:rsidRDefault="0004777D" w:rsidP="00176576">
            <w:r>
              <w:t>They must be prescribed together over a defined duration and</w:t>
            </w:r>
          </w:p>
          <w:p w:rsidR="0004777D" w:rsidRDefault="0004777D" w:rsidP="00176576">
            <w:r>
              <w:t>ensure a diluent and final volume are specified as well as the dose</w:t>
            </w:r>
          </w:p>
          <w:p w:rsidR="0004777D" w:rsidRDefault="0004777D" w:rsidP="00176576">
            <w:r>
              <w:t>and/or concentration of each of the medicines e.g. diamorphine</w:t>
            </w:r>
          </w:p>
          <w:p w:rsidR="0004777D" w:rsidRDefault="0004777D" w:rsidP="00176576">
            <w:r>
              <w:t>5mg + cyclizine 50mg + haloperidol 5mg made up to 14mL with</w:t>
            </w:r>
          </w:p>
          <w:p w:rsidR="0004777D" w:rsidRDefault="0004777D" w:rsidP="00176576">
            <w:r>
              <w:t>water for injection given via a syringe driver over 24 hours</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w:t>
            </w:r>
          </w:p>
        </w:tc>
      </w:tr>
      <w:tr w:rsidR="0004777D" w:rsidRPr="000611C1" w:rsidTr="00575C34">
        <w:tc>
          <w:tcPr>
            <w:tcW w:w="1384" w:type="dxa"/>
          </w:tcPr>
          <w:p w:rsidR="0004777D" w:rsidRDefault="00CA66E7" w:rsidP="00176576">
            <w:pPr>
              <w:rPr>
                <w:rFonts w:cstheme="minorHAnsi"/>
              </w:rPr>
            </w:pPr>
            <w:r>
              <w:t>P</w:t>
            </w:r>
            <w:r w:rsidR="00643D7D">
              <w:t>M</w:t>
            </w:r>
            <w:r>
              <w:t>6</w:t>
            </w:r>
          </w:p>
        </w:tc>
        <w:tc>
          <w:tcPr>
            <w:tcW w:w="6298" w:type="dxa"/>
          </w:tcPr>
          <w:p w:rsidR="0004777D" w:rsidRDefault="0004777D" w:rsidP="00176576">
            <w:r>
              <w:t>Medicines that are given intravenously often need to be</w:t>
            </w:r>
          </w:p>
          <w:p w:rsidR="0004777D" w:rsidRDefault="0004777D" w:rsidP="00176576">
            <w:r>
              <w:t>reconstituted and given in a certain volume of fluid over a specified</w:t>
            </w:r>
          </w:p>
          <w:p w:rsidR="0004777D" w:rsidRDefault="0004777D" w:rsidP="00176576">
            <w:proofErr w:type="gramStart"/>
            <w:r>
              <w:t>period</w:t>
            </w:r>
            <w:proofErr w:type="gramEnd"/>
            <w:r>
              <w:t xml:space="preserve"> of time. The information to facilitate preparation of the final</w:t>
            </w:r>
          </w:p>
          <w:p w:rsidR="0004777D" w:rsidRDefault="0004777D" w:rsidP="00176576">
            <w:r>
              <w:t>product, including calculations, should be visible within</w:t>
            </w:r>
          </w:p>
          <w:p w:rsidR="0004777D" w:rsidRDefault="0004777D" w:rsidP="00176576">
            <w:proofErr w:type="gramStart"/>
            <w:r>
              <w:t>administration</w:t>
            </w:r>
            <w:proofErr w:type="gramEnd"/>
            <w:r>
              <w:t xml:space="preserve"> views and/or in worksheet format if required. The</w:t>
            </w:r>
          </w:p>
          <w:p w:rsidR="0004777D" w:rsidRDefault="0004777D" w:rsidP="00176576">
            <w:proofErr w:type="gramStart"/>
            <w:r>
              <w:t>worksheet</w:t>
            </w:r>
            <w:proofErr w:type="gramEnd"/>
            <w:r>
              <w:t xml:space="preserve"> should allow a record of the preparation of the product to be recorded, including the entry/recording of the batch number(s) of the constituents utilized.</w:t>
            </w:r>
          </w:p>
          <w:p w:rsidR="0004777D" w:rsidRDefault="0004777D" w:rsidP="00176576"/>
          <w:p w:rsidR="0004777D" w:rsidRDefault="0004777D" w:rsidP="00176576">
            <w:r>
              <w:t>Where a final product created extemporaneously on the ward</w:t>
            </w:r>
          </w:p>
          <w:p w:rsidR="0004777D" w:rsidRDefault="0004777D" w:rsidP="00176576">
            <w:proofErr w:type="gramStart"/>
            <w:r>
              <w:t>requires</w:t>
            </w:r>
            <w:proofErr w:type="gramEnd"/>
            <w:r>
              <w:t xml:space="preserve"> labeling</w:t>
            </w:r>
            <w:r w:rsidR="00CA66E7">
              <w:t>,</w:t>
            </w:r>
            <w:r>
              <w:t xml:space="preserve"> it should be possible to generate the label on the ward. This should include the description of the final product, date/time prepared, who prepared and checked it, any</w:t>
            </w:r>
          </w:p>
          <w:p w:rsidR="0004777D" w:rsidRDefault="0004777D" w:rsidP="00176576">
            <w:r>
              <w:t>administration instructions, expiry information and any other</w:t>
            </w:r>
          </w:p>
          <w:p w:rsidR="0004777D" w:rsidRDefault="0004777D" w:rsidP="00176576">
            <w:r>
              <w:t>information that may be required to aid safe administration</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2</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tc>
      </w:tr>
      <w:tr w:rsidR="0004777D" w:rsidRPr="000611C1" w:rsidTr="00575C34">
        <w:tc>
          <w:tcPr>
            <w:tcW w:w="1384" w:type="dxa"/>
          </w:tcPr>
          <w:p w:rsidR="0004777D" w:rsidRDefault="00CA66E7" w:rsidP="00176576">
            <w:pPr>
              <w:rPr>
                <w:rFonts w:cstheme="minorHAnsi"/>
              </w:rPr>
            </w:pPr>
            <w:r>
              <w:t>P</w:t>
            </w:r>
            <w:r w:rsidR="00643D7D">
              <w:t>M</w:t>
            </w:r>
            <w:r>
              <w:t>7</w:t>
            </w:r>
          </w:p>
        </w:tc>
        <w:tc>
          <w:tcPr>
            <w:tcW w:w="6298" w:type="dxa"/>
          </w:tcPr>
          <w:p w:rsidR="0004777D" w:rsidRDefault="0004777D" w:rsidP="00176576">
            <w:r>
              <w:t>The system must support the prescription of line flushes and allow</w:t>
            </w:r>
          </w:p>
          <w:p w:rsidR="0004777D" w:rsidRDefault="0004777D" w:rsidP="00176576">
            <w:proofErr w:type="gramStart"/>
            <w:r>
              <w:t>specification</w:t>
            </w:r>
            <w:proofErr w:type="gramEnd"/>
            <w:r>
              <w:t xml:space="preserve"> of these as such.</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w:t>
            </w:r>
          </w:p>
        </w:tc>
      </w:tr>
      <w:tr w:rsidR="0004777D" w:rsidRPr="000611C1" w:rsidTr="00575C34">
        <w:tc>
          <w:tcPr>
            <w:tcW w:w="1384" w:type="dxa"/>
          </w:tcPr>
          <w:p w:rsidR="0004777D" w:rsidRDefault="00110FCE" w:rsidP="00176576">
            <w:pPr>
              <w:rPr>
                <w:rFonts w:cstheme="minorHAnsi"/>
              </w:rPr>
            </w:pPr>
            <w:r>
              <w:t>P</w:t>
            </w:r>
            <w:r w:rsidR="00643D7D">
              <w:t>M</w:t>
            </w:r>
            <w:r>
              <w:t>8</w:t>
            </w:r>
          </w:p>
        </w:tc>
        <w:tc>
          <w:tcPr>
            <w:tcW w:w="6298" w:type="dxa"/>
          </w:tcPr>
          <w:p w:rsidR="0004777D" w:rsidRDefault="0004777D" w:rsidP="00176576">
            <w:r>
              <w:t>The system must support the management of patients with restricted fluid volumes and link this information to the prescription of medicines to remind prescribers about the restriction.</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1-2</w:t>
            </w:r>
          </w:p>
        </w:tc>
      </w:tr>
      <w:tr w:rsidR="0004777D" w:rsidRPr="000611C1" w:rsidTr="00575C34">
        <w:tc>
          <w:tcPr>
            <w:tcW w:w="1384" w:type="dxa"/>
          </w:tcPr>
          <w:p w:rsidR="0004777D" w:rsidRDefault="00110FCE" w:rsidP="00176576">
            <w:r>
              <w:t>P</w:t>
            </w:r>
            <w:r w:rsidR="00643D7D">
              <w:t>M</w:t>
            </w:r>
            <w:r>
              <w:t>9</w:t>
            </w:r>
          </w:p>
        </w:tc>
        <w:tc>
          <w:tcPr>
            <w:tcW w:w="6298" w:type="dxa"/>
          </w:tcPr>
          <w:p w:rsidR="0004777D" w:rsidRDefault="0004777D" w:rsidP="00176576">
            <w:r>
              <w:t>The system must support the prescription of patient-controlled</w:t>
            </w:r>
          </w:p>
          <w:p w:rsidR="0004777D" w:rsidRDefault="0004777D" w:rsidP="00176576">
            <w:r>
              <w:t>epidurals as well as continuous infusions (which may be of a</w:t>
            </w:r>
          </w:p>
          <w:p w:rsidR="0004777D" w:rsidRDefault="0004777D" w:rsidP="00176576">
            <w:proofErr w:type="gramStart"/>
            <w:r>
              <w:t>variable</w:t>
            </w:r>
            <w:proofErr w:type="gramEnd"/>
            <w:r>
              <w:t xml:space="preserve"> rate) with staff administered top-up doses.</w:t>
            </w:r>
          </w:p>
          <w:p w:rsidR="0004777D" w:rsidRDefault="0004777D" w:rsidP="00176576"/>
          <w:p w:rsidR="0004777D" w:rsidRDefault="0004777D" w:rsidP="00176576">
            <w:r>
              <w:t>In patient-controlled epidurals it must be possible to prescribe a</w:t>
            </w:r>
          </w:p>
          <w:p w:rsidR="0004777D" w:rsidRDefault="0004777D" w:rsidP="00176576">
            <w:r>
              <w:t>background infusion rate and allow a predefined number of bolus</w:t>
            </w:r>
          </w:p>
          <w:p w:rsidR="0004777D" w:rsidRDefault="0004777D" w:rsidP="00176576">
            <w:proofErr w:type="gramStart"/>
            <w:r>
              <w:t>doses</w:t>
            </w:r>
            <w:proofErr w:type="gramEnd"/>
            <w:r>
              <w:t xml:space="preserve"> to be given over a period of time.</w:t>
            </w:r>
          </w:p>
          <w:p w:rsidR="0004777D" w:rsidRDefault="0004777D" w:rsidP="00176576"/>
          <w:p w:rsidR="0004777D" w:rsidRDefault="0004777D" w:rsidP="00176576">
            <w:r>
              <w:t>Ideally</w:t>
            </w:r>
            <w:r w:rsidR="00110FCE">
              <w:t>,</w:t>
            </w:r>
            <w:r>
              <w:t xml:space="preserve"> the infusion device should be linked to the system so all</w:t>
            </w:r>
          </w:p>
          <w:p w:rsidR="0004777D" w:rsidRDefault="0004777D" w:rsidP="00176576">
            <w:r>
              <w:t>doses and requests for doses can be recorded and reported on</w:t>
            </w:r>
          </w:p>
          <w:p w:rsidR="0004777D" w:rsidRDefault="0004777D" w:rsidP="00176576">
            <w:proofErr w:type="gramStart"/>
            <w:r>
              <w:t>automatically</w:t>
            </w:r>
            <w:proofErr w:type="gramEnd"/>
            <w:r>
              <w:t>.</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tc>
      </w:tr>
      <w:tr w:rsidR="0004777D" w:rsidRPr="000611C1" w:rsidTr="00575C34">
        <w:tc>
          <w:tcPr>
            <w:tcW w:w="1384" w:type="dxa"/>
          </w:tcPr>
          <w:p w:rsidR="0004777D" w:rsidRDefault="00110FCE" w:rsidP="00176576">
            <w:r>
              <w:t>P</w:t>
            </w:r>
            <w:r w:rsidR="00643D7D">
              <w:t>M</w:t>
            </w:r>
            <w:r>
              <w:t>10</w:t>
            </w:r>
          </w:p>
        </w:tc>
        <w:tc>
          <w:tcPr>
            <w:tcW w:w="6298" w:type="dxa"/>
          </w:tcPr>
          <w:p w:rsidR="0004777D" w:rsidRDefault="0004777D" w:rsidP="00176576">
            <w:r>
              <w:t>The system must support the prescription of patient-controlled</w:t>
            </w:r>
          </w:p>
          <w:p w:rsidR="0004777D" w:rsidRDefault="0004777D" w:rsidP="00176576">
            <w:proofErr w:type="gramStart"/>
            <w:r>
              <w:t>analgesia</w:t>
            </w:r>
            <w:proofErr w:type="gramEnd"/>
            <w:r>
              <w:t xml:space="preserve"> with or without a background infusion running.</w:t>
            </w:r>
          </w:p>
          <w:p w:rsidR="0004777D" w:rsidRDefault="0004777D" w:rsidP="00176576"/>
          <w:p w:rsidR="0004777D" w:rsidRDefault="0004777D" w:rsidP="00176576">
            <w:r>
              <w:t>It must be possible to prescribe a dose to be given with its</w:t>
            </w:r>
          </w:p>
          <w:p w:rsidR="0004777D" w:rsidRDefault="0004777D" w:rsidP="00176576">
            <w:proofErr w:type="gramStart"/>
            <w:r>
              <w:t>associated</w:t>
            </w:r>
            <w:proofErr w:type="gramEnd"/>
            <w:r>
              <w:t xml:space="preserve"> volume with specific controls attached to it, e.g. a lockout time.</w:t>
            </w:r>
          </w:p>
          <w:p w:rsidR="0004777D" w:rsidRDefault="0004777D" w:rsidP="00176576"/>
          <w:p w:rsidR="0004777D" w:rsidRDefault="0004777D" w:rsidP="00176576">
            <w:r>
              <w:t>It should also be possible to record and display all patient demands</w:t>
            </w:r>
          </w:p>
          <w:p w:rsidR="0004777D" w:rsidRDefault="0004777D" w:rsidP="00176576">
            <w:proofErr w:type="gramStart"/>
            <w:r>
              <w:t>either</w:t>
            </w:r>
            <w:proofErr w:type="gramEnd"/>
            <w:r>
              <w:t xml:space="preserve"> successful or unsuccessful where information can be acquired from the infusion device to allow for monitoring of pain relief administered.</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lastRenderedPageBreak/>
              <w:t>1</w:t>
            </w: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p>
          <w:p w:rsidR="00F80E01" w:rsidRDefault="00F80E01" w:rsidP="00575C34">
            <w:pPr>
              <w:autoSpaceDE w:val="0"/>
              <w:autoSpaceDN w:val="0"/>
              <w:adjustRightInd w:val="0"/>
              <w:rPr>
                <w:rFonts w:eastAsia="Times New Roman" w:cstheme="minorHAnsi"/>
              </w:rPr>
            </w:pPr>
          </w:p>
          <w:p w:rsidR="0004777D" w:rsidRDefault="0004777D" w:rsidP="00575C34">
            <w:pPr>
              <w:autoSpaceDE w:val="0"/>
              <w:autoSpaceDN w:val="0"/>
              <w:adjustRightInd w:val="0"/>
              <w:rPr>
                <w:rFonts w:eastAsia="Times New Roman" w:cstheme="minorHAnsi"/>
              </w:rPr>
            </w:pPr>
            <w:r>
              <w:rPr>
                <w:rFonts w:eastAsia="Times New Roman" w:cstheme="minorHAnsi"/>
              </w:rPr>
              <w:t>3</w:t>
            </w:r>
          </w:p>
          <w:p w:rsidR="0004777D" w:rsidRDefault="0004777D" w:rsidP="00575C34">
            <w:pPr>
              <w:autoSpaceDE w:val="0"/>
              <w:autoSpaceDN w:val="0"/>
              <w:adjustRightInd w:val="0"/>
              <w:rPr>
                <w:rFonts w:eastAsia="Times New Roman" w:cstheme="minorHAnsi"/>
              </w:rPr>
            </w:pPr>
          </w:p>
        </w:tc>
      </w:tr>
      <w:tr w:rsidR="0004777D" w:rsidRPr="000611C1" w:rsidTr="00575C34">
        <w:tc>
          <w:tcPr>
            <w:tcW w:w="1384" w:type="dxa"/>
          </w:tcPr>
          <w:p w:rsidR="0004777D" w:rsidRDefault="00110FCE" w:rsidP="00176576">
            <w:r>
              <w:lastRenderedPageBreak/>
              <w:t>P</w:t>
            </w:r>
            <w:r w:rsidR="00643D7D">
              <w:t>M</w:t>
            </w:r>
            <w:r>
              <w:t>11</w:t>
            </w:r>
          </w:p>
        </w:tc>
        <w:tc>
          <w:tcPr>
            <w:tcW w:w="6298" w:type="dxa"/>
          </w:tcPr>
          <w:p w:rsidR="0004777D" w:rsidRDefault="0004777D" w:rsidP="00176576">
            <w:r>
              <w:t>The system must support the prescription and administration of</w:t>
            </w:r>
          </w:p>
          <w:p w:rsidR="0004777D" w:rsidRDefault="0004777D" w:rsidP="00176576">
            <w:r>
              <w:t>parenteral nutrition (</w:t>
            </w:r>
            <w:r w:rsidRPr="007F4628">
              <w:t>TPN</w:t>
            </w:r>
            <w:r>
              <w:t xml:space="preserve"> or total parenteral nutrition)</w:t>
            </w:r>
          </w:p>
          <w:p w:rsidR="0004777D" w:rsidRDefault="0004777D" w:rsidP="00176576"/>
          <w:p w:rsidR="0004777D" w:rsidRDefault="0004777D" w:rsidP="00176576">
            <w:r>
              <w:t>It must be possible to link parenteral nutrition prescribing to</w:t>
            </w:r>
          </w:p>
          <w:p w:rsidR="0004777D" w:rsidRDefault="0004777D" w:rsidP="00176576">
            <w:r>
              <w:t>appropriate supply routes according to local requirements i.e. links</w:t>
            </w:r>
          </w:p>
          <w:p w:rsidR="0004777D" w:rsidRDefault="0004777D" w:rsidP="00176576">
            <w:r>
              <w:t>to aseptic worksheet/compounding software and/or stock control</w:t>
            </w:r>
          </w:p>
          <w:p w:rsidR="0004777D" w:rsidRDefault="0004777D" w:rsidP="00176576">
            <w:r>
              <w:t>systems</w:t>
            </w:r>
          </w:p>
          <w:p w:rsidR="0004777D" w:rsidRDefault="0004777D" w:rsidP="00176576"/>
          <w:p w:rsidR="0004777D" w:rsidRDefault="0004777D" w:rsidP="00176576">
            <w:r>
              <w:t xml:space="preserve">The prescription of individual components required </w:t>
            </w:r>
            <w:r w:rsidR="00F80E01">
              <w:t>utilizing</w:t>
            </w:r>
            <w:r>
              <w:t xml:space="preserve"> local</w:t>
            </w:r>
            <w:r w:rsidR="00791A7E">
              <w:t xml:space="preserve"> </w:t>
            </w:r>
            <w:proofErr w:type="spellStart"/>
            <w:r>
              <w:t>proformas</w:t>
            </w:r>
            <w:proofErr w:type="spellEnd"/>
            <w:r>
              <w:t xml:space="preserve"> must be supported with the actual display name for the</w:t>
            </w:r>
            <w:r w:rsidR="00791A7E">
              <w:t xml:space="preserve"> </w:t>
            </w:r>
            <w:r>
              <w:t>product being described according to local definition. It must be</w:t>
            </w:r>
          </w:p>
          <w:p w:rsidR="0004777D" w:rsidRDefault="0004777D" w:rsidP="00176576">
            <w:r>
              <w:t>possible to predefine a set of predefined formulae that can then be</w:t>
            </w:r>
          </w:p>
          <w:p w:rsidR="0004777D" w:rsidRDefault="00791A7E" w:rsidP="00176576">
            <w:proofErr w:type="gramStart"/>
            <w:r>
              <w:t>customized</w:t>
            </w:r>
            <w:proofErr w:type="gramEnd"/>
            <w:r w:rsidR="0004777D">
              <w:t xml:space="preserve"> to meet patient need on an individual basis. The carry</w:t>
            </w:r>
          </w:p>
          <w:p w:rsidR="0004777D" w:rsidRDefault="0004777D" w:rsidP="00176576">
            <w:proofErr w:type="gramStart"/>
            <w:r>
              <w:t>over</w:t>
            </w:r>
            <w:proofErr w:type="gramEnd"/>
            <w:r>
              <w:t xml:space="preserve"> of formulae from day to day must also be feasible to reduce the incidence of double entry.</w:t>
            </w:r>
          </w:p>
          <w:p w:rsidR="0004777D" w:rsidRDefault="0004777D" w:rsidP="00176576"/>
          <w:p w:rsidR="0004777D" w:rsidRDefault="0004777D" w:rsidP="00176576">
            <w:r>
              <w:t>Pharmacist verification of the individual components or the overall</w:t>
            </w:r>
          </w:p>
          <w:p w:rsidR="0004777D" w:rsidRDefault="0004777D" w:rsidP="00176576">
            <w:proofErr w:type="gramStart"/>
            <w:r>
              <w:t>product</w:t>
            </w:r>
            <w:proofErr w:type="gramEnd"/>
            <w:r>
              <w:t xml:space="preserve"> must be possible as described elsewhere.</w:t>
            </w:r>
          </w:p>
          <w:p w:rsidR="0004777D" w:rsidRDefault="0004777D" w:rsidP="00176576"/>
          <w:p w:rsidR="0004777D" w:rsidRDefault="0004777D" w:rsidP="00176576">
            <w:r>
              <w:t>Prescribers must be able to prescribe a ‘generic’ TPN product that</w:t>
            </w:r>
          </w:p>
          <w:p w:rsidR="0004777D" w:rsidRDefault="0004777D" w:rsidP="00176576">
            <w:r>
              <w:t>can have the actual formulation attached to it as above by other</w:t>
            </w:r>
          </w:p>
          <w:p w:rsidR="0004777D" w:rsidRDefault="0004777D" w:rsidP="00176576">
            <w:proofErr w:type="gramStart"/>
            <w:r>
              <w:t>system</w:t>
            </w:r>
            <w:proofErr w:type="gramEnd"/>
            <w:r>
              <w:t xml:space="preserve"> users.</w:t>
            </w:r>
          </w:p>
          <w:p w:rsidR="0004777D" w:rsidRDefault="0004777D" w:rsidP="00176576"/>
          <w:p w:rsidR="0004777D" w:rsidRDefault="0004777D" w:rsidP="00176576">
            <w:r>
              <w:t>Checking of the compatibility of the individual components itemized within the formulation must be supported in the longer term.</w:t>
            </w:r>
          </w:p>
        </w:tc>
        <w:tc>
          <w:tcPr>
            <w:tcW w:w="1534" w:type="dxa"/>
          </w:tcPr>
          <w:p w:rsidR="0004777D" w:rsidRDefault="0004777D" w:rsidP="00575C34">
            <w:pPr>
              <w:autoSpaceDE w:val="0"/>
              <w:autoSpaceDN w:val="0"/>
              <w:adjustRightInd w:val="0"/>
              <w:rPr>
                <w:rFonts w:eastAsia="Times New Roman" w:cstheme="minorHAnsi"/>
              </w:rPr>
            </w:pPr>
            <w:r>
              <w:rPr>
                <w:rFonts w:eastAsia="Times New Roman" w:cstheme="minorHAnsi"/>
              </w:rPr>
              <w:t>1</w:t>
            </w:r>
          </w:p>
        </w:tc>
      </w:tr>
    </w:tbl>
    <w:p w:rsidR="0004777D" w:rsidRDefault="0004777D" w:rsidP="0004777D">
      <w:pPr>
        <w:autoSpaceDE w:val="0"/>
        <w:autoSpaceDN w:val="0"/>
        <w:adjustRightInd w:val="0"/>
        <w:spacing w:after="0" w:line="240" w:lineRule="auto"/>
        <w:ind w:firstLine="720"/>
        <w:rPr>
          <w:rFonts w:eastAsia="Times New Roman" w:cstheme="minorHAnsi"/>
          <w:b/>
          <w:bCs/>
        </w:rPr>
      </w:pPr>
    </w:p>
    <w:sectPr w:rsidR="0004777D" w:rsidSect="00D87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7D"/>
    <w:rsid w:val="0004777D"/>
    <w:rsid w:val="00110FCE"/>
    <w:rsid w:val="00176576"/>
    <w:rsid w:val="001C3D33"/>
    <w:rsid w:val="001D4CCF"/>
    <w:rsid w:val="00311B54"/>
    <w:rsid w:val="0040595D"/>
    <w:rsid w:val="00495B58"/>
    <w:rsid w:val="005123B9"/>
    <w:rsid w:val="006260C9"/>
    <w:rsid w:val="00643D7D"/>
    <w:rsid w:val="00783880"/>
    <w:rsid w:val="00791A7E"/>
    <w:rsid w:val="007E4D15"/>
    <w:rsid w:val="007F4628"/>
    <w:rsid w:val="00976724"/>
    <w:rsid w:val="00994D11"/>
    <w:rsid w:val="00A639DB"/>
    <w:rsid w:val="00AD2C8F"/>
    <w:rsid w:val="00AF13A5"/>
    <w:rsid w:val="00BD4458"/>
    <w:rsid w:val="00CA66E7"/>
    <w:rsid w:val="00D87C54"/>
    <w:rsid w:val="00DB49F7"/>
    <w:rsid w:val="00DD7061"/>
    <w:rsid w:val="00EE399B"/>
    <w:rsid w:val="00F80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7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777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47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7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777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47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ahashem@rawasigroup.com</dc:creator>
  <cp:lastModifiedBy>Ahmad</cp:lastModifiedBy>
  <cp:revision>5</cp:revision>
  <dcterms:created xsi:type="dcterms:W3CDTF">2012-05-03T19:19:00Z</dcterms:created>
  <dcterms:modified xsi:type="dcterms:W3CDTF">2012-05-03T19:21:00Z</dcterms:modified>
</cp:coreProperties>
</file>